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  <w:b/>
        </w:rPr>
        <w:t>รายงานประจำเดือน</w:t>
      </w:r>
    </w:p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</w:rPr>
        <w:t>ยอดขายรวม ๑๒๕ รายการ</w:t>
      </w:r>
    </w:p>
    <w:p>
      <w:pPr>
        <w:spacing w:after="220"/>
      </w:pPr>
      <w:r>
        <w:rPr>
          <w:rFonts w:ascii="Noto Sans Thai" w:hAnsi="Noto Sans Thai" w:eastAsia="Noto Sans Thai" w:cs="Noto Sans Thai"/>
          <w:sz w:val="32"/>
          <w:szCs w:val="32"/>
        </w:rPr>
        <w:t>ตรวจสอบสระและวรรณยุกต์: กิ กี กึ กื กุ กู ก่ ก้ ก๊ ก๋</w:t>
      </w:r>
    </w:p>
    <w:sectPr>
      <w:pgSz w:w="11906" w:h="16838"/>
      <w:pgMar w:top="1440" w:right="1440" w:bottom="1440" w:left="1440"/>
    </w:sectPr>
  </w:body>
</w:document>
</file>